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lang w:eastAsia="en-US"/>
        </w:rPr>
      </w:pPr>
      <w:r>
        <w:rPr>
          <w:b/>
          <w:lang w:eastAsia="en-US"/>
        </w:rPr>
        <w:t>РАСПОРЯЖЕНИЕ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9"/>
          <w:tab w:val="left" w:pos="8647" w:leader="none"/>
        </w:tabs>
        <w:rPr>
          <w:lang w:eastAsia="en-US"/>
        </w:rPr>
      </w:pPr>
      <w:r>
        <w:rPr>
          <w:lang w:eastAsia="en-US"/>
        </w:rPr>
        <w:t>_________________ 2025 г.</w:t>
        <w:tab/>
        <w:t>№______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  <w:t>г. Томск</w:t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  <w:tab w:val="left" w:pos="7797" w:leader="none"/>
        </w:tabs>
        <w:rPr>
          <w:lang w:eastAsia="en-US"/>
        </w:rPr>
      </w:pPr>
      <w:r>
        <w:rPr>
          <w:lang w:eastAsia="en-US"/>
        </w:rPr>
        <w:t>Директор</w:t>
        <w:tab/>
        <w:t>И.В. Романченко</w:t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30</Words>
  <Characters>223</Characters>
  <CharactersWithSpaces>242</CharactersWithSpaces>
  <Paragraphs>11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2025-12-15T12:48:40Z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